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B6758" w14:textId="77777777" w:rsidR="00E12B45" w:rsidRDefault="00AC4E7F" w:rsidP="000E4755">
      <w:pPr>
        <w:pStyle w:val="Title"/>
        <w:tabs>
          <w:tab w:val="left" w:pos="8315"/>
        </w:tabs>
        <w:jc w:val="center"/>
        <w:rPr>
          <w:rFonts w:asciiTheme="minorHAnsi" w:hAnsiTheme="minorHAnsi" w:cstheme="minorHAnsi"/>
          <w:b/>
          <w:bCs/>
          <w:color w:val="008A9A"/>
          <w:sz w:val="42"/>
          <w:szCs w:val="42"/>
        </w:rPr>
      </w:pPr>
      <w:r w:rsidRPr="004A67DE">
        <w:rPr>
          <w:rFonts w:asciiTheme="minorHAnsi" w:hAnsiTheme="minorHAnsi" w:cstheme="minorHAnsi"/>
          <w:b/>
          <w:bCs/>
          <w:color w:val="008A9A"/>
          <w:sz w:val="42"/>
          <w:szCs w:val="42"/>
        </w:rPr>
        <w:t>M</w:t>
      </w:r>
      <w:r w:rsidR="00E12B45">
        <w:rPr>
          <w:rFonts w:asciiTheme="minorHAnsi" w:hAnsiTheme="minorHAnsi" w:cstheme="minorHAnsi"/>
          <w:b/>
          <w:bCs/>
          <w:color w:val="008A9A"/>
          <w:sz w:val="42"/>
          <w:szCs w:val="42"/>
        </w:rPr>
        <w:t xml:space="preserve">ental </w:t>
      </w:r>
      <w:r w:rsidRPr="004A67DE">
        <w:rPr>
          <w:rFonts w:asciiTheme="minorHAnsi" w:hAnsiTheme="minorHAnsi" w:cstheme="minorHAnsi"/>
          <w:b/>
          <w:bCs/>
          <w:color w:val="008A9A"/>
          <w:sz w:val="42"/>
          <w:szCs w:val="42"/>
        </w:rPr>
        <w:t>H</w:t>
      </w:r>
      <w:r w:rsidR="00E12B45">
        <w:rPr>
          <w:rFonts w:asciiTheme="minorHAnsi" w:hAnsiTheme="minorHAnsi" w:cstheme="minorHAnsi"/>
          <w:b/>
          <w:bCs/>
          <w:color w:val="008A9A"/>
          <w:sz w:val="42"/>
          <w:szCs w:val="42"/>
        </w:rPr>
        <w:t xml:space="preserve">ealth </w:t>
      </w:r>
      <w:r w:rsidRPr="004A67DE">
        <w:rPr>
          <w:rFonts w:asciiTheme="minorHAnsi" w:hAnsiTheme="minorHAnsi" w:cstheme="minorHAnsi"/>
          <w:b/>
          <w:bCs/>
          <w:color w:val="008A9A"/>
          <w:sz w:val="42"/>
          <w:szCs w:val="42"/>
        </w:rPr>
        <w:t>C</w:t>
      </w:r>
      <w:r w:rsidR="00E12B45">
        <w:rPr>
          <w:rFonts w:asciiTheme="minorHAnsi" w:hAnsiTheme="minorHAnsi" w:cstheme="minorHAnsi"/>
          <w:b/>
          <w:bCs/>
          <w:color w:val="008A9A"/>
          <w:sz w:val="42"/>
          <w:szCs w:val="42"/>
        </w:rPr>
        <w:t xml:space="preserve">arers </w:t>
      </w:r>
      <w:r w:rsidRPr="004A67DE">
        <w:rPr>
          <w:rFonts w:asciiTheme="minorHAnsi" w:hAnsiTheme="minorHAnsi" w:cstheme="minorHAnsi"/>
          <w:b/>
          <w:bCs/>
          <w:color w:val="008A9A"/>
          <w:sz w:val="42"/>
          <w:szCs w:val="42"/>
        </w:rPr>
        <w:t>V</w:t>
      </w:r>
      <w:r w:rsidR="00E12B45">
        <w:rPr>
          <w:rFonts w:asciiTheme="minorHAnsi" w:hAnsiTheme="minorHAnsi" w:cstheme="minorHAnsi"/>
          <w:b/>
          <w:bCs/>
          <w:color w:val="008A9A"/>
          <w:sz w:val="42"/>
          <w:szCs w:val="42"/>
        </w:rPr>
        <w:t>oice</w:t>
      </w:r>
      <w:r w:rsidRPr="004A67DE">
        <w:rPr>
          <w:rFonts w:asciiTheme="minorHAnsi" w:hAnsiTheme="minorHAnsi" w:cstheme="minorHAnsi"/>
          <w:b/>
          <w:bCs/>
          <w:color w:val="008A9A"/>
          <w:sz w:val="42"/>
          <w:szCs w:val="42"/>
        </w:rPr>
        <w:t xml:space="preserve"> </w:t>
      </w:r>
    </w:p>
    <w:p w14:paraId="479ABBCB" w14:textId="6608C71C" w:rsidR="000E4755" w:rsidRPr="004A67DE" w:rsidRDefault="00AC4E7F" w:rsidP="000E4755">
      <w:pPr>
        <w:pStyle w:val="Title"/>
        <w:tabs>
          <w:tab w:val="left" w:pos="8315"/>
        </w:tabs>
        <w:jc w:val="center"/>
        <w:rPr>
          <w:rFonts w:asciiTheme="minorHAnsi" w:hAnsiTheme="minorHAnsi" w:cstheme="minorHAnsi"/>
          <w:b/>
          <w:bCs/>
          <w:color w:val="008A9A"/>
          <w:sz w:val="42"/>
          <w:szCs w:val="42"/>
        </w:rPr>
      </w:pPr>
      <w:r w:rsidRPr="004A67DE">
        <w:rPr>
          <w:rFonts w:asciiTheme="minorHAnsi" w:hAnsiTheme="minorHAnsi" w:cstheme="minorHAnsi"/>
          <w:b/>
          <w:bCs/>
          <w:color w:val="008A9A"/>
          <w:sz w:val="42"/>
          <w:szCs w:val="42"/>
        </w:rPr>
        <w:t>Strategic Plan 2020 – 2023</w:t>
      </w:r>
    </w:p>
    <w:p w14:paraId="0FFE20BD" w14:textId="77777777" w:rsidR="002E6186" w:rsidRPr="00DF7DBB" w:rsidRDefault="002E6186" w:rsidP="006256A7">
      <w:pPr>
        <w:spacing w:after="0" w:line="360" w:lineRule="auto"/>
        <w:rPr>
          <w:rFonts w:cstheme="minorHAnsi"/>
          <w:b/>
          <w:bCs/>
          <w:color w:val="262A67"/>
        </w:rPr>
      </w:pPr>
    </w:p>
    <w:p w14:paraId="35E87B8F" w14:textId="4A288834" w:rsidR="002E6186" w:rsidRPr="00DF7DBB" w:rsidRDefault="002E6186" w:rsidP="006256A7">
      <w:pPr>
        <w:spacing w:after="0" w:line="360" w:lineRule="auto"/>
        <w:rPr>
          <w:rFonts w:cstheme="minorHAnsi"/>
          <w:b/>
          <w:bCs/>
          <w:color w:val="262A67"/>
        </w:rPr>
        <w:sectPr w:rsidR="002E6186" w:rsidRPr="00DF7DBB" w:rsidSect="008C4AEA">
          <w:headerReference w:type="first" r:id="rId11"/>
          <w:pgSz w:w="11906" w:h="16838"/>
          <w:pgMar w:top="1440" w:right="1440" w:bottom="1440" w:left="1440" w:header="576" w:footer="708" w:gutter="0"/>
          <w:cols w:space="708"/>
          <w:titlePg/>
          <w:docGrid w:linePitch="360"/>
        </w:sectPr>
      </w:pPr>
    </w:p>
    <w:p w14:paraId="24A8042C" w14:textId="331B35B7" w:rsidR="008C4AEA" w:rsidRPr="00E12B45" w:rsidRDefault="008C4AEA" w:rsidP="006256A7">
      <w:pPr>
        <w:spacing w:after="0" w:line="360" w:lineRule="auto"/>
        <w:rPr>
          <w:rFonts w:cstheme="minorHAnsi"/>
          <w:b/>
          <w:bCs/>
          <w:color w:val="262A67"/>
          <w:sz w:val="36"/>
          <w:szCs w:val="36"/>
        </w:rPr>
      </w:pPr>
      <w:r w:rsidRPr="00E12B45">
        <w:rPr>
          <w:rFonts w:cstheme="minorHAnsi"/>
          <w:b/>
          <w:bCs/>
          <w:color w:val="262A67"/>
          <w:sz w:val="36"/>
          <w:szCs w:val="36"/>
        </w:rPr>
        <w:t>Vision</w:t>
      </w:r>
    </w:p>
    <w:p w14:paraId="5CB4E393" w14:textId="7D55F1F6" w:rsidR="008C4AEA" w:rsidRPr="00E12B45" w:rsidRDefault="008C4AEA" w:rsidP="006256A7">
      <w:pPr>
        <w:spacing w:after="0" w:line="360" w:lineRule="auto"/>
        <w:rPr>
          <w:rFonts w:cstheme="minorHAnsi"/>
        </w:rPr>
      </w:pPr>
      <w:r w:rsidRPr="00E12B45">
        <w:rPr>
          <w:rFonts w:cstheme="minorHAnsi"/>
        </w:rPr>
        <w:t xml:space="preserve">A Canberra that recognises, </w:t>
      </w:r>
      <w:r w:rsidR="00DF7DBB" w:rsidRPr="00E12B45">
        <w:rPr>
          <w:rFonts w:cstheme="minorHAnsi"/>
        </w:rPr>
        <w:t>values,</w:t>
      </w:r>
      <w:r w:rsidRPr="00E12B45">
        <w:rPr>
          <w:rFonts w:cstheme="minorHAnsi"/>
        </w:rPr>
        <w:t xml:space="preserve"> and includes mental health carers.</w:t>
      </w:r>
    </w:p>
    <w:p w14:paraId="228B6535" w14:textId="77777777" w:rsidR="008C4AEA" w:rsidRPr="00E12B45" w:rsidRDefault="008C4AEA" w:rsidP="006256A7">
      <w:pPr>
        <w:spacing w:after="0" w:line="360" w:lineRule="auto"/>
        <w:rPr>
          <w:rFonts w:cstheme="minorHAnsi"/>
          <w:b/>
          <w:bCs/>
          <w:color w:val="262A67"/>
          <w:sz w:val="36"/>
          <w:szCs w:val="36"/>
        </w:rPr>
      </w:pPr>
      <w:r w:rsidRPr="00E12B45">
        <w:rPr>
          <w:rFonts w:cstheme="minorHAnsi"/>
          <w:b/>
          <w:bCs/>
          <w:color w:val="262A67"/>
          <w:sz w:val="36"/>
          <w:szCs w:val="36"/>
        </w:rPr>
        <w:t>Principles and Values</w:t>
      </w:r>
    </w:p>
    <w:p w14:paraId="58B65DD2" w14:textId="77777777" w:rsidR="008C4AEA" w:rsidRPr="00E12B45" w:rsidRDefault="008C4AEA" w:rsidP="006256A7">
      <w:pPr>
        <w:spacing w:after="0" w:line="360" w:lineRule="auto"/>
        <w:rPr>
          <w:rFonts w:cstheme="minorHAnsi"/>
        </w:rPr>
      </w:pPr>
      <w:r w:rsidRPr="00E12B45">
        <w:rPr>
          <w:rFonts w:cstheme="minorHAnsi"/>
        </w:rPr>
        <w:t>Mental health carer wellbeing is central.</w:t>
      </w:r>
    </w:p>
    <w:p w14:paraId="673A2AA3" w14:textId="1A0FF779" w:rsidR="008C4AEA" w:rsidRPr="00E12B45" w:rsidRDefault="008C4AEA" w:rsidP="006256A7">
      <w:pPr>
        <w:spacing w:after="0" w:line="360" w:lineRule="auto"/>
        <w:rPr>
          <w:rFonts w:cstheme="minorHAnsi"/>
        </w:rPr>
      </w:pPr>
      <w:r w:rsidRPr="00E12B45">
        <w:rPr>
          <w:rFonts w:cstheme="minorHAnsi"/>
        </w:rPr>
        <w:t>Effective advocacy lead</w:t>
      </w:r>
      <w:r w:rsidR="00DF7DBB">
        <w:rPr>
          <w:rFonts w:cstheme="minorHAnsi"/>
        </w:rPr>
        <w:t>s</w:t>
      </w:r>
      <w:r w:rsidRPr="00E12B45">
        <w:rPr>
          <w:rFonts w:cstheme="minorHAnsi"/>
        </w:rPr>
        <w:t xml:space="preserve"> to reform</w:t>
      </w:r>
      <w:r w:rsidR="00DF7DBB">
        <w:rPr>
          <w:rFonts w:cstheme="minorHAnsi"/>
        </w:rPr>
        <w:t>.</w:t>
      </w:r>
    </w:p>
    <w:p w14:paraId="3D8297E4" w14:textId="75E9813D" w:rsidR="008C4AEA" w:rsidRPr="00E12B45" w:rsidRDefault="008C4AEA" w:rsidP="006256A7">
      <w:pPr>
        <w:spacing w:after="0" w:line="360" w:lineRule="auto"/>
        <w:rPr>
          <w:rFonts w:cstheme="minorHAnsi"/>
        </w:rPr>
      </w:pPr>
      <w:r w:rsidRPr="00E12B45">
        <w:rPr>
          <w:rFonts w:cstheme="minorHAnsi"/>
        </w:rPr>
        <w:t>Informed by mental health carer experience and evidence-based research</w:t>
      </w:r>
      <w:r w:rsidR="00DF7DBB">
        <w:rPr>
          <w:rFonts w:cstheme="minorHAnsi"/>
        </w:rPr>
        <w:t>.</w:t>
      </w:r>
    </w:p>
    <w:p w14:paraId="5609D626" w14:textId="77777777" w:rsidR="008C4AEA" w:rsidRPr="00E12B45" w:rsidRDefault="008C4AEA" w:rsidP="006256A7">
      <w:pPr>
        <w:spacing w:after="0" w:line="360" w:lineRule="auto"/>
        <w:rPr>
          <w:rFonts w:cstheme="minorHAnsi"/>
        </w:rPr>
      </w:pPr>
      <w:r w:rsidRPr="00E12B45">
        <w:rPr>
          <w:rFonts w:cstheme="minorHAnsi"/>
        </w:rPr>
        <w:t>Carer focused decision making.</w:t>
      </w:r>
    </w:p>
    <w:p w14:paraId="52696537" w14:textId="7AD541AC" w:rsidR="008C4AEA" w:rsidRDefault="008C4AEA" w:rsidP="006256A7">
      <w:pPr>
        <w:spacing w:after="0" w:line="360" w:lineRule="auto"/>
        <w:rPr>
          <w:rFonts w:cstheme="minorHAnsi"/>
        </w:rPr>
      </w:pPr>
      <w:r w:rsidRPr="00E12B45">
        <w:rPr>
          <w:rFonts w:cstheme="minorHAnsi"/>
        </w:rPr>
        <w:t>Mental health carers are informed and central to M</w:t>
      </w:r>
      <w:r w:rsidR="004A054E">
        <w:rPr>
          <w:rFonts w:cstheme="minorHAnsi"/>
        </w:rPr>
        <w:t xml:space="preserve">ental </w:t>
      </w:r>
      <w:r w:rsidRPr="00E12B45">
        <w:rPr>
          <w:rFonts w:cstheme="minorHAnsi"/>
        </w:rPr>
        <w:t>H</w:t>
      </w:r>
      <w:r w:rsidR="004A054E">
        <w:rPr>
          <w:rFonts w:cstheme="minorHAnsi"/>
        </w:rPr>
        <w:t xml:space="preserve">ealth </w:t>
      </w:r>
      <w:r w:rsidRPr="00E12B45">
        <w:rPr>
          <w:rFonts w:cstheme="minorHAnsi"/>
        </w:rPr>
        <w:t>C</w:t>
      </w:r>
      <w:r w:rsidR="004A054E">
        <w:rPr>
          <w:rFonts w:cstheme="minorHAnsi"/>
        </w:rPr>
        <w:t xml:space="preserve">arer </w:t>
      </w:r>
      <w:r w:rsidRPr="00E12B45">
        <w:rPr>
          <w:rFonts w:cstheme="minorHAnsi"/>
        </w:rPr>
        <w:t>V</w:t>
      </w:r>
      <w:r w:rsidR="004A054E">
        <w:rPr>
          <w:rFonts w:cstheme="minorHAnsi"/>
        </w:rPr>
        <w:t>oice’s</w:t>
      </w:r>
      <w:r w:rsidRPr="00E12B45">
        <w:rPr>
          <w:rFonts w:cstheme="minorHAnsi"/>
        </w:rPr>
        <w:t xml:space="preserve"> work.</w:t>
      </w:r>
    </w:p>
    <w:p w14:paraId="6438B1B5" w14:textId="77777777" w:rsidR="002E6186" w:rsidRPr="00071A63" w:rsidRDefault="002E6186" w:rsidP="006256A7">
      <w:pPr>
        <w:spacing w:after="0" w:line="360" w:lineRule="auto"/>
        <w:rPr>
          <w:rFonts w:ascii="Calibri" w:hAnsi="Calibri" w:cs="Calibri"/>
          <w:b/>
          <w:bCs/>
          <w:color w:val="262A67"/>
        </w:rPr>
      </w:pPr>
    </w:p>
    <w:p w14:paraId="075B0702" w14:textId="77777777" w:rsidR="002E6186" w:rsidRPr="00071A63" w:rsidRDefault="002E6186" w:rsidP="006256A7">
      <w:pPr>
        <w:spacing w:after="0" w:line="360" w:lineRule="auto"/>
        <w:rPr>
          <w:rFonts w:ascii="Calibri" w:hAnsi="Calibri" w:cs="Calibri"/>
          <w:b/>
          <w:bCs/>
          <w:color w:val="262A67"/>
        </w:rPr>
      </w:pPr>
    </w:p>
    <w:p w14:paraId="18A9E44F" w14:textId="6E066B9B" w:rsidR="0045087B" w:rsidRPr="00C93602" w:rsidRDefault="0045087B" w:rsidP="006256A7">
      <w:pPr>
        <w:spacing w:after="0" w:line="360" w:lineRule="auto"/>
        <w:rPr>
          <w:rFonts w:cstheme="minorHAnsi"/>
          <w:b/>
          <w:bCs/>
          <w:color w:val="262A67"/>
          <w:sz w:val="36"/>
          <w:szCs w:val="36"/>
        </w:rPr>
      </w:pPr>
      <w:r w:rsidRPr="00C93602">
        <w:rPr>
          <w:rFonts w:cstheme="minorHAnsi"/>
          <w:b/>
          <w:bCs/>
          <w:color w:val="262A67"/>
          <w:sz w:val="36"/>
          <w:szCs w:val="36"/>
        </w:rPr>
        <w:t>Goals</w:t>
      </w:r>
    </w:p>
    <w:p w14:paraId="48A86717" w14:textId="77777777" w:rsidR="0045087B" w:rsidRPr="00DF7DBB" w:rsidRDefault="0045087B" w:rsidP="006256A7">
      <w:pPr>
        <w:spacing w:after="0" w:line="360" w:lineRule="auto"/>
        <w:rPr>
          <w:rFonts w:cstheme="minorHAnsi"/>
        </w:rPr>
      </w:pPr>
      <w:r w:rsidRPr="00DF7DBB">
        <w:rPr>
          <w:rFonts w:cstheme="minorHAnsi"/>
        </w:rPr>
        <w:t>Mental health carers are safe in their homes.</w:t>
      </w:r>
    </w:p>
    <w:p w14:paraId="16DBF033" w14:textId="77777777" w:rsidR="0045087B" w:rsidRPr="00DF7DBB" w:rsidRDefault="0045087B" w:rsidP="006256A7">
      <w:pPr>
        <w:spacing w:after="0" w:line="360" w:lineRule="auto"/>
        <w:rPr>
          <w:rFonts w:cstheme="minorHAnsi"/>
        </w:rPr>
      </w:pPr>
      <w:r w:rsidRPr="00DF7DBB">
        <w:rPr>
          <w:rFonts w:cstheme="minorHAnsi"/>
        </w:rPr>
        <w:t>Mental health services recognise, include and value carers.</w:t>
      </w:r>
    </w:p>
    <w:p w14:paraId="58916958" w14:textId="77777777" w:rsidR="0045087B" w:rsidRPr="00DF7DBB" w:rsidRDefault="0045087B" w:rsidP="006256A7">
      <w:pPr>
        <w:spacing w:after="0" w:line="360" w:lineRule="auto"/>
        <w:rPr>
          <w:rFonts w:cstheme="minorHAnsi"/>
        </w:rPr>
      </w:pPr>
      <w:r w:rsidRPr="00DF7DBB">
        <w:rPr>
          <w:rFonts w:cstheme="minorHAnsi"/>
        </w:rPr>
        <w:t>Mental health services are high quality and available when needed.</w:t>
      </w:r>
    </w:p>
    <w:p w14:paraId="49B2C1C4" w14:textId="5DA0FFAE" w:rsidR="0045087B" w:rsidRPr="00DF7DBB" w:rsidRDefault="0045087B" w:rsidP="006256A7">
      <w:pPr>
        <w:spacing w:after="0" w:line="360" w:lineRule="auto"/>
        <w:rPr>
          <w:rFonts w:cstheme="minorHAnsi"/>
        </w:rPr>
      </w:pPr>
      <w:r w:rsidRPr="00DF7DBB">
        <w:rPr>
          <w:rFonts w:cstheme="minorHAnsi"/>
        </w:rPr>
        <w:t>Mental health carers have good outcomes on the Wellbeing Indicators.</w:t>
      </w:r>
      <w:r w:rsidRPr="00DF7DBB">
        <w:rPr>
          <w:rFonts w:cstheme="minorHAnsi"/>
        </w:rPr>
        <w:br/>
        <w:t>Mental health carers are engaged in their workplace and education.</w:t>
      </w:r>
      <w:r w:rsidRPr="00DF7DBB">
        <w:rPr>
          <w:rFonts w:cstheme="minorHAnsi"/>
        </w:rPr>
        <w:br/>
        <w:t>Awareness of mental health caring increases in the community.</w:t>
      </w:r>
      <w:r w:rsidRPr="00DF7DBB">
        <w:rPr>
          <w:rFonts w:cstheme="minorHAnsi"/>
        </w:rPr>
        <w:br/>
        <w:t xml:space="preserve">Mental health carers have an identity outside of caring. </w:t>
      </w:r>
    </w:p>
    <w:p w14:paraId="4F5ED1D2" w14:textId="77777777" w:rsidR="00DF7DBB" w:rsidRDefault="00DF7DBB" w:rsidP="006256A7">
      <w:pPr>
        <w:spacing w:after="0" w:line="360" w:lineRule="auto"/>
        <w:rPr>
          <w:rFonts w:cstheme="minorHAnsi"/>
          <w:b/>
          <w:bCs/>
          <w:color w:val="262A67"/>
          <w:sz w:val="36"/>
          <w:szCs w:val="36"/>
        </w:rPr>
        <w:sectPr w:rsidR="00DF7DBB" w:rsidSect="00DF7DBB">
          <w:type w:val="continuous"/>
          <w:pgSz w:w="11906" w:h="16838"/>
          <w:pgMar w:top="1440" w:right="1440" w:bottom="1170" w:left="1440" w:header="576" w:footer="708" w:gutter="0"/>
          <w:cols w:num="2" w:space="708"/>
          <w:titlePg/>
          <w:docGrid w:linePitch="360"/>
        </w:sectPr>
      </w:pPr>
    </w:p>
    <w:p w14:paraId="444D656C" w14:textId="30C66C3D" w:rsidR="00DF7DBB" w:rsidRDefault="00DF7DBB" w:rsidP="00DF7DBB">
      <w:pPr>
        <w:spacing w:after="0" w:line="360" w:lineRule="auto"/>
        <w:jc w:val="center"/>
        <w:rPr>
          <w:rFonts w:cstheme="minorHAnsi"/>
          <w:b/>
          <w:bCs/>
          <w:color w:val="262A67"/>
          <w:sz w:val="36"/>
          <w:szCs w:val="36"/>
        </w:rPr>
        <w:sectPr w:rsidR="00DF7DBB" w:rsidSect="00DF7DBB">
          <w:type w:val="continuous"/>
          <w:pgSz w:w="11906" w:h="16838"/>
          <w:pgMar w:top="1440" w:right="1440" w:bottom="1440" w:left="1440" w:header="576" w:footer="708" w:gutter="0"/>
          <w:cols w:space="708"/>
          <w:titlePg/>
          <w:docGrid w:linePitch="360"/>
        </w:sectPr>
      </w:pPr>
      <w:r w:rsidRPr="005060C3">
        <w:rPr>
          <w:rFonts w:ascii="Arial Narrow" w:hAnsi="Arial Narrow" w:cs="Arial"/>
          <w:noProof/>
        </w:rPr>
        <w:drawing>
          <wp:inline distT="0" distB="0" distL="0" distR="0" wp14:anchorId="47333488" wp14:editId="427C3E53">
            <wp:extent cx="4581597" cy="2988646"/>
            <wp:effectExtent l="0" t="0" r="0" b="254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CV Ven Strat Teal.png"/>
                    <pic:cNvPicPr/>
                  </pic:nvPicPr>
                  <pic:blipFill>
                    <a:blip r:embed="rId12">
                      <a:extLst>
                        <a:ext uri="{28A0092B-C50C-407E-A947-70E740481C1C}">
                          <a14:useLocalDpi xmlns:a14="http://schemas.microsoft.com/office/drawing/2010/main" val="0"/>
                        </a:ext>
                      </a:extLst>
                    </a:blip>
                    <a:stretch>
                      <a:fillRect/>
                    </a:stretch>
                  </pic:blipFill>
                  <pic:spPr>
                    <a:xfrm>
                      <a:off x="0" y="0"/>
                      <a:ext cx="4593715" cy="2996551"/>
                    </a:xfrm>
                    <a:prstGeom prst="rect">
                      <a:avLst/>
                    </a:prstGeom>
                  </pic:spPr>
                </pic:pic>
              </a:graphicData>
            </a:graphic>
          </wp:inline>
        </w:drawing>
      </w:r>
    </w:p>
    <w:p w14:paraId="2CCBB13F" w14:textId="313C3667" w:rsidR="006C28AC" w:rsidRPr="004A054E" w:rsidRDefault="006C28AC" w:rsidP="006C28AC">
      <w:pPr>
        <w:rPr>
          <w:rFonts w:cstheme="minorHAnsi"/>
          <w:b/>
          <w:bCs/>
          <w:color w:val="262A67"/>
          <w:sz w:val="36"/>
          <w:szCs w:val="36"/>
        </w:rPr>
      </w:pPr>
      <w:r w:rsidRPr="004A054E">
        <w:rPr>
          <w:rFonts w:cstheme="minorHAnsi"/>
          <w:b/>
          <w:bCs/>
          <w:color w:val="262A67"/>
          <w:sz w:val="36"/>
          <w:szCs w:val="36"/>
        </w:rPr>
        <w:lastRenderedPageBreak/>
        <w:t>Background</w:t>
      </w:r>
    </w:p>
    <w:p w14:paraId="1D5B7B8E" w14:textId="77777777" w:rsidR="006C28AC" w:rsidRPr="004A054E" w:rsidRDefault="006C28AC" w:rsidP="006C28AC">
      <w:pPr>
        <w:rPr>
          <w:rFonts w:cstheme="minorHAnsi"/>
        </w:rPr>
      </w:pPr>
      <w:r w:rsidRPr="004A054E">
        <w:rPr>
          <w:rFonts w:cstheme="minorHAnsi"/>
        </w:rPr>
        <w:t xml:space="preserve">Mental Health Carers Voice (MHCV) is the Peak Body for Mental Health Carers in the ACT.  We also provide limited service provision through the Carers ACT gateway. </w:t>
      </w:r>
    </w:p>
    <w:p w14:paraId="599FBCDE" w14:textId="67B85BD6" w:rsidR="006C28AC" w:rsidRPr="004A054E" w:rsidRDefault="006C28AC" w:rsidP="006C28AC">
      <w:pPr>
        <w:rPr>
          <w:rFonts w:cstheme="minorHAnsi"/>
        </w:rPr>
      </w:pPr>
      <w:r w:rsidRPr="004A054E">
        <w:rPr>
          <w:rFonts w:cstheme="minorHAnsi"/>
        </w:rPr>
        <w:t>The Mental Health Carers Voice Advocacy and Policy Advisory Group (APAG) began in 2018 with a broad mandate to of providing a guiding voice for our Mental Health Carers Voice Peak Body work. MHCV actively engages with mental health carers to have their voice heard and create positive change in the sector through both individual and systemic advocacy.</w:t>
      </w:r>
      <w:r w:rsidRPr="004A054E">
        <w:rPr>
          <w:rFonts w:cstheme="minorHAnsi"/>
        </w:rPr>
        <w:br/>
      </w:r>
      <w:r w:rsidRPr="004A054E">
        <w:rPr>
          <w:rFonts w:cstheme="minorHAnsi"/>
        </w:rPr>
        <w:br/>
        <w:t xml:space="preserve">Over the last </w:t>
      </w:r>
      <w:r w:rsidR="002E0C8E" w:rsidRPr="004A054E">
        <w:rPr>
          <w:rFonts w:cstheme="minorHAnsi"/>
        </w:rPr>
        <w:t>two</w:t>
      </w:r>
      <w:r w:rsidRPr="004A054E">
        <w:rPr>
          <w:rFonts w:cstheme="minorHAnsi"/>
        </w:rPr>
        <w:t xml:space="preserve"> years this strategic plan has developed with significant input from the mental health carers community. APAG periodically conducts surveys in the mental health carers community to provide a basis to distil current problems and major concerns within that community. One overwhelming finding was that carers inevitably put their own concerns behind their concern for those they care for, and in the process suffer high levels of stress, exacerbated by feelings that their efforts are neither recognised nor valued by the wider community.</w:t>
      </w:r>
    </w:p>
    <w:p w14:paraId="1E0BFBE5" w14:textId="77777777" w:rsidR="00D62700" w:rsidRPr="005060C3" w:rsidRDefault="00D62700" w:rsidP="009C16EB">
      <w:pPr>
        <w:rPr>
          <w:rFonts w:ascii="Arial Narrow" w:hAnsi="Arial Narrow" w:cs="Arial"/>
          <w:color w:val="E26316"/>
          <w:sz w:val="52"/>
          <w:szCs w:val="52"/>
        </w:rPr>
      </w:pPr>
    </w:p>
    <w:p w14:paraId="7E4655B5" w14:textId="1CD9DF8B" w:rsidR="008B4DF7" w:rsidRPr="005060C3" w:rsidRDefault="004A054E" w:rsidP="007C62F8">
      <w:pPr>
        <w:jc w:val="center"/>
        <w:rPr>
          <w:rFonts w:ascii="Arial Narrow" w:hAnsi="Arial Narrow" w:cs="Arial"/>
        </w:rPr>
      </w:pPr>
      <w:r w:rsidRPr="005060C3">
        <w:rPr>
          <w:rFonts w:ascii="Arial Narrow" w:hAnsi="Arial Narrow" w:cs="Arial"/>
          <w:noProof/>
        </w:rPr>
        <w:drawing>
          <wp:inline distT="0" distB="0" distL="0" distR="0" wp14:anchorId="76890F2F" wp14:editId="19C7DF3D">
            <wp:extent cx="3979881" cy="3749338"/>
            <wp:effectExtent l="0" t="0" r="1905"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ult Pic.jpg"/>
                    <pic:cNvPicPr/>
                  </pic:nvPicPr>
                  <pic:blipFill>
                    <a:blip r:embed="rId13">
                      <a:extLst>
                        <a:ext uri="{28A0092B-C50C-407E-A947-70E740481C1C}">
                          <a14:useLocalDpi xmlns:a14="http://schemas.microsoft.com/office/drawing/2010/main" val="0"/>
                        </a:ext>
                      </a:extLst>
                    </a:blip>
                    <a:stretch>
                      <a:fillRect/>
                    </a:stretch>
                  </pic:blipFill>
                  <pic:spPr>
                    <a:xfrm>
                      <a:off x="0" y="0"/>
                      <a:ext cx="3991501" cy="3760285"/>
                    </a:xfrm>
                    <a:prstGeom prst="rect">
                      <a:avLst/>
                    </a:prstGeom>
                  </pic:spPr>
                </pic:pic>
              </a:graphicData>
            </a:graphic>
          </wp:inline>
        </w:drawing>
      </w:r>
    </w:p>
    <w:p w14:paraId="1CA03C75" w14:textId="77777777" w:rsidR="007C62F8" w:rsidRDefault="007C62F8">
      <w:pPr>
        <w:rPr>
          <w:rFonts w:cstheme="minorHAnsi"/>
          <w:b/>
          <w:bCs/>
          <w:color w:val="262A67"/>
          <w:sz w:val="36"/>
          <w:szCs w:val="36"/>
        </w:rPr>
      </w:pPr>
      <w:r>
        <w:rPr>
          <w:rFonts w:cstheme="minorHAnsi"/>
          <w:b/>
          <w:bCs/>
          <w:color w:val="262A67"/>
          <w:sz w:val="36"/>
          <w:szCs w:val="36"/>
        </w:rPr>
        <w:br w:type="page"/>
      </w:r>
    </w:p>
    <w:p w14:paraId="47A11C8E" w14:textId="3D31052C" w:rsidR="00D67BF1" w:rsidRDefault="006C28AC" w:rsidP="00AC142E">
      <w:pPr>
        <w:jc w:val="center"/>
        <w:rPr>
          <w:rFonts w:cstheme="minorHAnsi"/>
          <w:b/>
          <w:bCs/>
          <w:color w:val="262A67"/>
          <w:sz w:val="36"/>
          <w:szCs w:val="36"/>
        </w:rPr>
      </w:pPr>
      <w:r w:rsidRPr="00AC142E">
        <w:rPr>
          <w:rFonts w:cstheme="minorHAnsi"/>
          <w:b/>
          <w:bCs/>
          <w:color w:val="262A67"/>
          <w:sz w:val="36"/>
          <w:szCs w:val="36"/>
        </w:rPr>
        <w:t>Strategic Plan 2020-2023</w:t>
      </w:r>
    </w:p>
    <w:tbl>
      <w:tblPr>
        <w:tblStyle w:val="TableGrid"/>
        <w:tblW w:w="10170" w:type="dxa"/>
        <w:tblInd w:w="-635" w:type="dxa"/>
        <w:tblLook w:val="04A0" w:firstRow="1" w:lastRow="0" w:firstColumn="1" w:lastColumn="0" w:noHBand="0" w:noVBand="1"/>
      </w:tblPr>
      <w:tblGrid>
        <w:gridCol w:w="5040"/>
        <w:gridCol w:w="5130"/>
      </w:tblGrid>
      <w:tr w:rsidR="002007E7" w14:paraId="7010C50E" w14:textId="77777777" w:rsidTr="00BA75B7">
        <w:tc>
          <w:tcPr>
            <w:tcW w:w="5040" w:type="dxa"/>
          </w:tcPr>
          <w:p w14:paraId="048DB56A" w14:textId="77777777" w:rsidR="002007E7" w:rsidRPr="002F0FAF" w:rsidRDefault="002007E7" w:rsidP="00624872">
            <w:pPr>
              <w:spacing w:before="120" w:after="120"/>
              <w:rPr>
                <w:rFonts w:cstheme="minorHAnsi"/>
                <w:b/>
                <w:bCs/>
                <w:color w:val="7F7F7E"/>
                <w:sz w:val="26"/>
                <w:szCs w:val="26"/>
              </w:rPr>
            </w:pPr>
            <w:r w:rsidRPr="002F0FAF">
              <w:rPr>
                <w:rFonts w:cstheme="minorHAnsi"/>
                <w:b/>
                <w:bCs/>
                <w:color w:val="7F7F7E"/>
                <w:sz w:val="26"/>
                <w:szCs w:val="26"/>
              </w:rPr>
              <w:t>Focus One: Timely, Effective and Integrated Services</w:t>
            </w:r>
          </w:p>
          <w:p w14:paraId="4B755D47" w14:textId="77777777" w:rsidR="002007E7" w:rsidRPr="00034AB2" w:rsidRDefault="002007E7" w:rsidP="002007E7">
            <w:pPr>
              <w:spacing w:before="120" w:after="120"/>
              <w:rPr>
                <w:rFonts w:cstheme="minorHAnsi"/>
              </w:rPr>
            </w:pPr>
            <w:r w:rsidRPr="00034AB2">
              <w:rPr>
                <w:rFonts w:cstheme="minorHAnsi"/>
              </w:rPr>
              <w:t xml:space="preserve">Reduce the complexity of services for carers and their loved ones. Caring is made more complex because services for both carers and the people they care for are not meeting their needs of being timely, </w:t>
            </w:r>
            <w:proofErr w:type="gramStart"/>
            <w:r w:rsidRPr="00034AB2">
              <w:rPr>
                <w:rFonts w:cstheme="minorHAnsi"/>
              </w:rPr>
              <w:t>effective</w:t>
            </w:r>
            <w:proofErr w:type="gramEnd"/>
            <w:r w:rsidRPr="00034AB2">
              <w:rPr>
                <w:rFonts w:cstheme="minorHAnsi"/>
              </w:rPr>
              <w:t xml:space="preserve"> and integrated.</w:t>
            </w:r>
          </w:p>
          <w:p w14:paraId="7088485A" w14:textId="77777777" w:rsidR="002007E7" w:rsidRPr="001E7CBF" w:rsidRDefault="002007E7" w:rsidP="002007E7">
            <w:pPr>
              <w:spacing w:before="120" w:after="120"/>
              <w:rPr>
                <w:rFonts w:cstheme="minorHAnsi"/>
                <w:b/>
                <w:bCs/>
              </w:rPr>
            </w:pPr>
            <w:r w:rsidRPr="001E7CBF">
              <w:rPr>
                <w:rFonts w:cstheme="minorHAnsi"/>
                <w:b/>
                <w:bCs/>
              </w:rPr>
              <w:t xml:space="preserve">Outcomes: </w:t>
            </w:r>
          </w:p>
          <w:p w14:paraId="374CA38D" w14:textId="77777777" w:rsidR="002007E7" w:rsidRPr="00034AB2" w:rsidRDefault="002007E7" w:rsidP="002007E7">
            <w:pPr>
              <w:spacing w:before="120" w:after="120"/>
              <w:rPr>
                <w:rFonts w:cstheme="minorHAnsi"/>
              </w:rPr>
            </w:pPr>
            <w:r w:rsidRPr="00034AB2">
              <w:rPr>
                <w:rFonts w:cstheme="minorHAnsi"/>
              </w:rPr>
              <w:t xml:space="preserve">Improve timeliness, </w:t>
            </w:r>
            <w:proofErr w:type="gramStart"/>
            <w:r w:rsidRPr="00034AB2">
              <w:rPr>
                <w:rFonts w:cstheme="minorHAnsi"/>
              </w:rPr>
              <w:t>effectiveness</w:t>
            </w:r>
            <w:proofErr w:type="gramEnd"/>
            <w:r w:rsidRPr="00034AB2">
              <w:rPr>
                <w:rFonts w:cstheme="minorHAnsi"/>
              </w:rPr>
              <w:t xml:space="preserve"> and integration of services.</w:t>
            </w:r>
          </w:p>
          <w:p w14:paraId="122B1FA2" w14:textId="77777777" w:rsidR="002007E7" w:rsidRPr="00034AB2" w:rsidRDefault="002007E7" w:rsidP="002007E7">
            <w:pPr>
              <w:spacing w:before="120" w:after="120"/>
              <w:rPr>
                <w:rFonts w:cstheme="minorHAnsi"/>
              </w:rPr>
            </w:pPr>
            <w:r w:rsidRPr="00034AB2">
              <w:rPr>
                <w:rFonts w:cstheme="minorHAnsi"/>
              </w:rPr>
              <w:t>Mental health services that recognise, include and value carers in the Triangle of Care.</w:t>
            </w:r>
          </w:p>
          <w:p w14:paraId="1B69414D" w14:textId="77777777" w:rsidR="002007E7" w:rsidRPr="00034AB2" w:rsidRDefault="002007E7" w:rsidP="002007E7">
            <w:pPr>
              <w:spacing w:before="120" w:after="120"/>
              <w:rPr>
                <w:rFonts w:cstheme="minorHAnsi"/>
              </w:rPr>
            </w:pPr>
            <w:r w:rsidRPr="00034AB2">
              <w:rPr>
                <w:rFonts w:cstheme="minorHAnsi"/>
              </w:rPr>
              <w:t>Mental health services that focus delivery into early intervention.</w:t>
            </w:r>
          </w:p>
          <w:p w14:paraId="2FFAEA56" w14:textId="77777777" w:rsidR="002007E7" w:rsidRPr="00034AB2" w:rsidRDefault="002007E7" w:rsidP="002007E7">
            <w:pPr>
              <w:spacing w:before="120" w:after="120"/>
              <w:rPr>
                <w:rFonts w:cstheme="minorHAnsi"/>
              </w:rPr>
            </w:pPr>
            <w:r w:rsidRPr="00034AB2">
              <w:rPr>
                <w:rFonts w:cstheme="minorHAnsi"/>
              </w:rPr>
              <w:t>The quality and quantity of services are suitable for Canberra’s population of mental health service users and carer service users to meet best practice standards (e.g. for wait times, caseloads, patient flow, re-admissions, restrictive practices etc.).</w:t>
            </w:r>
          </w:p>
          <w:p w14:paraId="47FCA408" w14:textId="77777777" w:rsidR="002007E7" w:rsidRPr="00034AB2" w:rsidRDefault="002007E7" w:rsidP="002007E7">
            <w:pPr>
              <w:spacing w:before="120" w:after="120"/>
              <w:rPr>
                <w:rFonts w:cstheme="minorHAnsi"/>
              </w:rPr>
            </w:pPr>
            <w:r w:rsidRPr="00034AB2">
              <w:rPr>
                <w:rFonts w:cstheme="minorHAnsi"/>
              </w:rPr>
              <w:t>‘Life services’ involved in the care of a person with a mental illness (e.g. Housing, Medicare, recruitment agencies etc.).</w:t>
            </w:r>
          </w:p>
          <w:p w14:paraId="422DA8FD" w14:textId="77777777" w:rsidR="002007E7" w:rsidRDefault="002007E7" w:rsidP="002007E7">
            <w:pPr>
              <w:spacing w:before="120" w:after="120"/>
              <w:rPr>
                <w:rFonts w:cstheme="minorHAnsi"/>
              </w:rPr>
            </w:pPr>
            <w:r w:rsidRPr="00034AB2">
              <w:rPr>
                <w:rFonts w:cstheme="minorHAnsi"/>
              </w:rPr>
              <w:t>Have mental health carer support services accessible in a manner that meets carers’ needs.</w:t>
            </w:r>
          </w:p>
          <w:p w14:paraId="19CD3AF8" w14:textId="6E1E0DDE" w:rsidR="002007E7" w:rsidRPr="00BA75B7" w:rsidRDefault="002007E7" w:rsidP="00BA75B7">
            <w:pPr>
              <w:spacing w:before="120" w:after="120"/>
              <w:rPr>
                <w:rFonts w:cstheme="minorHAnsi"/>
              </w:rPr>
            </w:pPr>
            <w:r w:rsidRPr="00034AB2">
              <w:rPr>
                <w:rFonts w:cstheme="minorHAnsi"/>
              </w:rPr>
              <w:t>All mental Health Services in the ACT have contract outcome measures on carer inclusivity, reported on as part of the commitment to the ACT Carer Strategy.</w:t>
            </w:r>
          </w:p>
        </w:tc>
        <w:tc>
          <w:tcPr>
            <w:tcW w:w="5130" w:type="dxa"/>
          </w:tcPr>
          <w:p w14:paraId="724AD51A" w14:textId="77777777" w:rsidR="00BA75B7" w:rsidRPr="00EE7E2E" w:rsidRDefault="00BA75B7" w:rsidP="00BA75B7">
            <w:pPr>
              <w:spacing w:before="120" w:after="120"/>
              <w:rPr>
                <w:rFonts w:cstheme="minorHAnsi"/>
                <w:color w:val="7F7F7E"/>
                <w:sz w:val="26"/>
                <w:szCs w:val="26"/>
              </w:rPr>
            </w:pPr>
            <w:r w:rsidRPr="00EE7E2E">
              <w:rPr>
                <w:rFonts w:cstheme="minorHAnsi"/>
                <w:color w:val="7F7F7E"/>
                <w:sz w:val="26"/>
                <w:szCs w:val="26"/>
              </w:rPr>
              <w:t>Focus Three: Workplace and Education</w:t>
            </w:r>
          </w:p>
          <w:p w14:paraId="3BDE29E0" w14:textId="77777777" w:rsidR="00BA75B7" w:rsidRPr="00EE7E2E" w:rsidRDefault="00BA75B7" w:rsidP="00BA75B7">
            <w:pPr>
              <w:spacing w:before="120" w:after="120"/>
              <w:rPr>
                <w:rFonts w:cstheme="minorHAnsi"/>
              </w:rPr>
            </w:pPr>
            <w:r w:rsidRPr="00EE7E2E">
              <w:rPr>
                <w:rFonts w:cstheme="minorHAnsi"/>
              </w:rPr>
              <w:t xml:space="preserve">All mental health carers </w:t>
            </w:r>
            <w:proofErr w:type="gramStart"/>
            <w:r w:rsidRPr="00EE7E2E">
              <w:rPr>
                <w:rFonts w:cstheme="minorHAnsi"/>
              </w:rPr>
              <w:t>are able to</w:t>
            </w:r>
            <w:proofErr w:type="gramEnd"/>
            <w:r w:rsidRPr="00EE7E2E">
              <w:rPr>
                <w:rFonts w:cstheme="minorHAnsi"/>
              </w:rPr>
              <w:t xml:space="preserve"> participate fully in work and education. Caring makes it difficult for mental health Carers to participate in the workforce or education. This can include limited time, but it can also be through stigma and discrimination.</w:t>
            </w:r>
          </w:p>
          <w:p w14:paraId="54F951B6" w14:textId="77777777" w:rsidR="00BA75B7" w:rsidRPr="00EE7E2E" w:rsidRDefault="00BA75B7" w:rsidP="00BA75B7">
            <w:pPr>
              <w:spacing w:before="120" w:after="120"/>
              <w:rPr>
                <w:rFonts w:cstheme="minorHAnsi"/>
                <w:b/>
                <w:bCs/>
              </w:rPr>
            </w:pPr>
            <w:r>
              <w:rPr>
                <w:rFonts w:cstheme="minorHAnsi"/>
                <w:b/>
                <w:bCs/>
              </w:rPr>
              <w:t>Outcomes</w:t>
            </w:r>
            <w:r w:rsidRPr="00EE7E2E">
              <w:rPr>
                <w:rFonts w:cstheme="minorHAnsi"/>
                <w:b/>
                <w:bCs/>
              </w:rPr>
              <w:t>:</w:t>
            </w:r>
          </w:p>
          <w:p w14:paraId="7BC09D10" w14:textId="77777777" w:rsidR="00BA75B7" w:rsidRPr="00EE7E2E" w:rsidRDefault="00BA75B7" w:rsidP="00BA75B7">
            <w:pPr>
              <w:spacing w:before="120" w:after="120"/>
              <w:rPr>
                <w:rFonts w:cstheme="minorHAnsi"/>
              </w:rPr>
            </w:pPr>
            <w:r w:rsidRPr="00EE7E2E">
              <w:rPr>
                <w:rFonts w:cstheme="minorHAnsi"/>
              </w:rPr>
              <w:t xml:space="preserve">Remove discrimination and stigma associated with outside work demands on time and emotion. Create a culture of understanding, </w:t>
            </w:r>
            <w:proofErr w:type="gramStart"/>
            <w:r w:rsidRPr="00EE7E2E">
              <w:rPr>
                <w:rFonts w:cstheme="minorHAnsi"/>
              </w:rPr>
              <w:t>recognition</w:t>
            </w:r>
            <w:proofErr w:type="gramEnd"/>
            <w:r w:rsidRPr="00EE7E2E">
              <w:rPr>
                <w:rFonts w:cstheme="minorHAnsi"/>
              </w:rPr>
              <w:t xml:space="preserve"> and value of mental health carers in our community.</w:t>
            </w:r>
          </w:p>
          <w:p w14:paraId="275668DF" w14:textId="77777777" w:rsidR="00BA75B7" w:rsidRPr="00EE7E2E" w:rsidRDefault="00BA75B7" w:rsidP="00BA75B7">
            <w:pPr>
              <w:spacing w:before="120" w:after="120"/>
              <w:rPr>
                <w:rFonts w:cstheme="minorHAnsi"/>
              </w:rPr>
            </w:pPr>
            <w:r w:rsidRPr="00EE7E2E">
              <w:rPr>
                <w:rFonts w:cstheme="minorHAnsi"/>
              </w:rPr>
              <w:t>Workplace promotion of mental health carers. Improve self-recognition of staff as carers and encourage help seeking behaviours (e.g. use of EAPs and carer support services).</w:t>
            </w:r>
          </w:p>
          <w:p w14:paraId="390208CE" w14:textId="77777777" w:rsidR="00BA75B7" w:rsidRPr="00EE7E2E" w:rsidRDefault="00BA75B7" w:rsidP="00BA75B7">
            <w:pPr>
              <w:spacing w:before="120" w:after="120"/>
              <w:rPr>
                <w:rFonts w:cstheme="minorHAnsi"/>
              </w:rPr>
            </w:pPr>
            <w:r w:rsidRPr="00EE7E2E">
              <w:rPr>
                <w:rFonts w:cstheme="minorHAnsi"/>
              </w:rPr>
              <w:t xml:space="preserve">Encourage leave provisions in workforce that match the </w:t>
            </w:r>
            <w:proofErr w:type="gramStart"/>
            <w:r w:rsidRPr="00EE7E2E">
              <w:rPr>
                <w:rFonts w:cstheme="minorHAnsi"/>
              </w:rPr>
              <w:t>particular demands</w:t>
            </w:r>
            <w:proofErr w:type="gramEnd"/>
            <w:r w:rsidRPr="00EE7E2E">
              <w:rPr>
                <w:rFonts w:cstheme="minorHAnsi"/>
              </w:rPr>
              <w:t xml:space="preserve"> of mental health carers.</w:t>
            </w:r>
          </w:p>
          <w:p w14:paraId="1E189FDA" w14:textId="77777777" w:rsidR="00BA75B7" w:rsidRPr="00EE7E2E" w:rsidRDefault="00BA75B7" w:rsidP="00BA75B7">
            <w:pPr>
              <w:spacing w:before="120" w:after="120"/>
              <w:rPr>
                <w:rFonts w:cstheme="minorHAnsi"/>
              </w:rPr>
            </w:pPr>
            <w:r w:rsidRPr="00EE7E2E">
              <w:rPr>
                <w:rFonts w:cstheme="minorHAnsi"/>
              </w:rPr>
              <w:t xml:space="preserve">Schools should engage in outcomes-focused activities to ensure that carers within the education system are being recognised, </w:t>
            </w:r>
            <w:proofErr w:type="gramStart"/>
            <w:r w:rsidRPr="00EE7E2E">
              <w:rPr>
                <w:rFonts w:cstheme="minorHAnsi"/>
              </w:rPr>
              <w:t>included</w:t>
            </w:r>
            <w:proofErr w:type="gramEnd"/>
            <w:r w:rsidRPr="00EE7E2E">
              <w:rPr>
                <w:rFonts w:cstheme="minorHAnsi"/>
              </w:rPr>
              <w:t xml:space="preserve"> and valued, and supported to participate in education.</w:t>
            </w:r>
          </w:p>
          <w:p w14:paraId="4A91403E" w14:textId="4D610A84" w:rsidR="00BA75B7" w:rsidRPr="007C62F8" w:rsidRDefault="00BA75B7" w:rsidP="00BA75B7">
            <w:pPr>
              <w:spacing w:before="120" w:after="120"/>
              <w:rPr>
                <w:rFonts w:cstheme="minorHAnsi"/>
              </w:rPr>
            </w:pPr>
            <w:r w:rsidRPr="00EE7E2E">
              <w:rPr>
                <w:rFonts w:cstheme="minorHAnsi"/>
              </w:rPr>
              <w:t xml:space="preserve">Encourage universities and further education institutions to provide study patterns that cater to the </w:t>
            </w:r>
            <w:proofErr w:type="gramStart"/>
            <w:r w:rsidRPr="00EE7E2E">
              <w:rPr>
                <w:rFonts w:cstheme="minorHAnsi"/>
              </w:rPr>
              <w:t>particular demands</w:t>
            </w:r>
            <w:proofErr w:type="gramEnd"/>
            <w:r w:rsidRPr="00EE7E2E">
              <w:rPr>
                <w:rFonts w:cstheme="minorHAnsi"/>
              </w:rPr>
              <w:t xml:space="preserve"> of mental health carers.</w:t>
            </w:r>
          </w:p>
          <w:p w14:paraId="715BF69C" w14:textId="71465C3F" w:rsidR="00624872" w:rsidRPr="007C62F8" w:rsidRDefault="00624872" w:rsidP="007C62F8">
            <w:pPr>
              <w:spacing w:before="120" w:after="120"/>
              <w:rPr>
                <w:rFonts w:cstheme="minorHAnsi"/>
              </w:rPr>
            </w:pPr>
          </w:p>
        </w:tc>
      </w:tr>
      <w:tr w:rsidR="007C62F8" w14:paraId="4C730849" w14:textId="77777777" w:rsidTr="00BA75B7">
        <w:tc>
          <w:tcPr>
            <w:tcW w:w="5040" w:type="dxa"/>
          </w:tcPr>
          <w:p w14:paraId="1EDD449E" w14:textId="77777777" w:rsidR="00BA75B7" w:rsidRPr="002007E7" w:rsidRDefault="00BA75B7" w:rsidP="00BA75B7">
            <w:pPr>
              <w:spacing w:before="120" w:after="120"/>
              <w:rPr>
                <w:rFonts w:cstheme="minorHAnsi"/>
                <w:b/>
                <w:bCs/>
                <w:color w:val="7F7F7E"/>
                <w:sz w:val="26"/>
                <w:szCs w:val="26"/>
              </w:rPr>
            </w:pPr>
            <w:r w:rsidRPr="002007E7">
              <w:rPr>
                <w:rFonts w:cstheme="minorHAnsi"/>
                <w:b/>
                <w:bCs/>
                <w:color w:val="7F7F7E"/>
                <w:sz w:val="26"/>
                <w:szCs w:val="26"/>
              </w:rPr>
              <w:t>Focus Two: Health and Wellbeing</w:t>
            </w:r>
          </w:p>
          <w:p w14:paraId="299E32FF" w14:textId="77777777" w:rsidR="00BA75B7" w:rsidRDefault="00BA75B7" w:rsidP="00BA75B7">
            <w:pPr>
              <w:spacing w:before="120" w:after="120"/>
              <w:rPr>
                <w:rFonts w:cstheme="minorHAnsi"/>
              </w:rPr>
            </w:pPr>
            <w:r w:rsidRPr="000A48F0">
              <w:rPr>
                <w:rFonts w:cstheme="minorHAnsi"/>
              </w:rPr>
              <w:t>Improve the holistic health and wellbeing of mental health carers.  Stigma and cultural expectations can make it difficult to disclose</w:t>
            </w:r>
            <w:r>
              <w:rPr>
                <w:rFonts w:cstheme="minorHAnsi"/>
              </w:rPr>
              <w:t xml:space="preserve"> </w:t>
            </w:r>
            <w:r w:rsidRPr="000A48F0">
              <w:rPr>
                <w:rFonts w:cstheme="minorHAnsi"/>
              </w:rPr>
              <w:t>being a mental health carer and asking for support for their own physical and emotional needs.</w:t>
            </w:r>
          </w:p>
          <w:p w14:paraId="3517330F" w14:textId="77777777" w:rsidR="00BA75B7" w:rsidRPr="00EE7E2E" w:rsidRDefault="00BA75B7" w:rsidP="00BA75B7">
            <w:pPr>
              <w:spacing w:before="120" w:after="120"/>
              <w:rPr>
                <w:rFonts w:cstheme="minorHAnsi"/>
                <w:b/>
                <w:bCs/>
              </w:rPr>
            </w:pPr>
            <w:r w:rsidRPr="00EE7E2E">
              <w:rPr>
                <w:rFonts w:cstheme="minorHAnsi"/>
                <w:b/>
                <w:bCs/>
              </w:rPr>
              <w:t>Outcomes:</w:t>
            </w:r>
          </w:p>
          <w:p w14:paraId="560E98CB" w14:textId="77777777" w:rsidR="00BA75B7" w:rsidRDefault="00BA75B7" w:rsidP="00BA75B7">
            <w:pPr>
              <w:spacing w:before="120" w:after="120"/>
              <w:rPr>
                <w:rFonts w:cstheme="minorHAnsi"/>
              </w:rPr>
            </w:pPr>
            <w:r w:rsidRPr="00AC142E">
              <w:rPr>
                <w:rFonts w:cstheme="minorHAnsi"/>
              </w:rPr>
              <w:t>Improve physical and mental wellbeing of carers.</w:t>
            </w:r>
          </w:p>
          <w:p w14:paraId="0908957E" w14:textId="77777777" w:rsidR="00BA75B7" w:rsidRDefault="00BA75B7" w:rsidP="00BA75B7">
            <w:pPr>
              <w:spacing w:before="120" w:after="120"/>
              <w:rPr>
                <w:rFonts w:cstheme="minorHAnsi"/>
              </w:rPr>
            </w:pPr>
            <w:r w:rsidRPr="00AC142E">
              <w:rPr>
                <w:rFonts w:cstheme="minorHAnsi"/>
              </w:rPr>
              <w:t>Include carers as high needs group in Wellbeing Indicators Framework.</w:t>
            </w:r>
          </w:p>
          <w:p w14:paraId="590FC81D" w14:textId="295BABE9" w:rsidR="007C62F8" w:rsidRPr="002F0FAF" w:rsidRDefault="00BA75B7" w:rsidP="00BA75B7">
            <w:pPr>
              <w:spacing w:before="120" w:after="120"/>
              <w:rPr>
                <w:rFonts w:cstheme="minorHAnsi"/>
                <w:b/>
                <w:bCs/>
                <w:color w:val="7F7F7E"/>
                <w:sz w:val="26"/>
                <w:szCs w:val="26"/>
              </w:rPr>
            </w:pPr>
            <w:r w:rsidRPr="00AC142E">
              <w:rPr>
                <w:rFonts w:cstheme="minorHAnsi"/>
              </w:rPr>
              <w:t>Collaboratively engage with the sector to work on concerns for mental health carers’ personal safety, particular</w:t>
            </w:r>
            <w:r>
              <w:rPr>
                <w:rFonts w:cstheme="minorHAnsi"/>
              </w:rPr>
              <w:t>ly</w:t>
            </w:r>
            <w:r w:rsidRPr="00AC142E">
              <w:rPr>
                <w:rFonts w:cstheme="minorHAnsi"/>
              </w:rPr>
              <w:t xml:space="preserve"> in instances where they are unable to obtain supports for the person they care for and they escalate in the home.</w:t>
            </w:r>
          </w:p>
        </w:tc>
        <w:tc>
          <w:tcPr>
            <w:tcW w:w="5130" w:type="dxa"/>
          </w:tcPr>
          <w:p w14:paraId="10C8C476" w14:textId="77777777" w:rsidR="007C62F8" w:rsidRPr="00FA78B1" w:rsidRDefault="007C62F8" w:rsidP="007C62F8">
            <w:pPr>
              <w:spacing w:before="120" w:after="120"/>
              <w:rPr>
                <w:rFonts w:cstheme="minorHAnsi"/>
                <w:b/>
                <w:bCs/>
                <w:color w:val="7F7F7E"/>
                <w:sz w:val="26"/>
                <w:szCs w:val="26"/>
              </w:rPr>
            </w:pPr>
            <w:r w:rsidRPr="00FA78B1">
              <w:rPr>
                <w:rFonts w:cstheme="minorHAnsi"/>
                <w:b/>
                <w:bCs/>
                <w:color w:val="7F7F7E"/>
                <w:sz w:val="26"/>
                <w:szCs w:val="26"/>
              </w:rPr>
              <w:t>Focus Four: Recognition, Inclusion and Value Outside of Caring</w:t>
            </w:r>
          </w:p>
          <w:p w14:paraId="0125AC4D" w14:textId="77777777" w:rsidR="007C62F8" w:rsidRPr="00EE7E2E" w:rsidRDefault="007C62F8" w:rsidP="007C62F8">
            <w:pPr>
              <w:spacing w:before="120" w:after="120"/>
              <w:rPr>
                <w:rFonts w:cstheme="minorHAnsi"/>
              </w:rPr>
            </w:pPr>
            <w:r w:rsidRPr="00EE7E2E">
              <w:rPr>
                <w:rFonts w:cstheme="minorHAnsi"/>
              </w:rPr>
              <w:t>The value and contribution of mental health carers are recognised in the community. Caring can be all consuming and overtime, Carers can lose a sense of identity and purpose outside the caring role.</w:t>
            </w:r>
          </w:p>
          <w:p w14:paraId="1D4FB9C0" w14:textId="77777777" w:rsidR="007C62F8" w:rsidRPr="00EE7E2E" w:rsidRDefault="007C62F8" w:rsidP="007C62F8">
            <w:pPr>
              <w:spacing w:before="120" w:after="120"/>
              <w:rPr>
                <w:rFonts w:cstheme="minorHAnsi"/>
                <w:b/>
                <w:bCs/>
              </w:rPr>
            </w:pPr>
            <w:r w:rsidRPr="00EE7E2E">
              <w:rPr>
                <w:rFonts w:cstheme="minorHAnsi"/>
                <w:b/>
                <w:bCs/>
              </w:rPr>
              <w:t>Outcomes:</w:t>
            </w:r>
          </w:p>
          <w:p w14:paraId="1695C1F0" w14:textId="77777777" w:rsidR="007C62F8" w:rsidRPr="00EE7E2E" w:rsidRDefault="007C62F8" w:rsidP="007C62F8">
            <w:pPr>
              <w:spacing w:before="120" w:after="120"/>
              <w:rPr>
                <w:rFonts w:cstheme="minorHAnsi"/>
              </w:rPr>
            </w:pPr>
            <w:r w:rsidRPr="00EE7E2E">
              <w:rPr>
                <w:rFonts w:cstheme="minorHAnsi"/>
              </w:rPr>
              <w:t>Establish pathways for carers to transition out of their caring role to become active and constructive contributors to society in a different way, while recognising their current financial and societal contribution to community.</w:t>
            </w:r>
          </w:p>
          <w:p w14:paraId="0A3DC23C" w14:textId="77777777" w:rsidR="007C62F8" w:rsidRPr="00EE7E2E" w:rsidRDefault="007C62F8" w:rsidP="007C62F8">
            <w:pPr>
              <w:spacing w:before="120" w:after="120"/>
              <w:rPr>
                <w:rFonts w:cstheme="minorHAnsi"/>
              </w:rPr>
            </w:pPr>
            <w:r w:rsidRPr="00EE7E2E">
              <w:rPr>
                <w:rFonts w:cstheme="minorHAnsi"/>
              </w:rPr>
              <w:t>Promote role of mental health carers in terms of value to community.</w:t>
            </w:r>
          </w:p>
          <w:p w14:paraId="4D7CEBE8" w14:textId="197A9D2B" w:rsidR="007C62F8" w:rsidRPr="00BA75B7" w:rsidRDefault="007C62F8" w:rsidP="00624872">
            <w:pPr>
              <w:spacing w:before="120" w:after="120"/>
              <w:rPr>
                <w:rFonts w:cstheme="minorHAnsi"/>
              </w:rPr>
            </w:pPr>
            <w:r w:rsidRPr="00EE7E2E">
              <w:rPr>
                <w:rFonts w:cstheme="minorHAnsi"/>
              </w:rPr>
              <w:t>Support carer to participate in social events and activities where they share commonalities with participants other than caring.</w:t>
            </w:r>
          </w:p>
        </w:tc>
      </w:tr>
    </w:tbl>
    <w:p w14:paraId="174C19C8" w14:textId="77777777" w:rsidR="007C62F8" w:rsidRPr="00EE7E2E" w:rsidRDefault="007C62F8">
      <w:pPr>
        <w:spacing w:before="120" w:after="120" w:line="240" w:lineRule="auto"/>
        <w:rPr>
          <w:rFonts w:cstheme="minorHAnsi"/>
        </w:rPr>
      </w:pPr>
    </w:p>
    <w:sectPr w:rsidR="007C62F8" w:rsidRPr="00EE7E2E" w:rsidSect="00FA78B1">
      <w:headerReference w:type="first" r:id="rId14"/>
      <w:type w:val="continuous"/>
      <w:pgSz w:w="11906" w:h="16838"/>
      <w:pgMar w:top="900" w:right="1440" w:bottom="630" w:left="1440" w:header="5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C526" w14:textId="77777777" w:rsidR="00AC3CA3" w:rsidRDefault="00AC3CA3" w:rsidP="00D67BF1">
      <w:pPr>
        <w:spacing w:after="0" w:line="240" w:lineRule="auto"/>
      </w:pPr>
      <w:r>
        <w:separator/>
      </w:r>
    </w:p>
  </w:endnote>
  <w:endnote w:type="continuationSeparator" w:id="0">
    <w:p w14:paraId="1AB32362" w14:textId="77777777" w:rsidR="00AC3CA3" w:rsidRDefault="00AC3CA3" w:rsidP="00D6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6AAEA" w14:textId="77777777" w:rsidR="00AC3CA3" w:rsidRDefault="00AC3CA3" w:rsidP="00D67BF1">
      <w:pPr>
        <w:spacing w:after="0" w:line="240" w:lineRule="auto"/>
      </w:pPr>
      <w:r>
        <w:separator/>
      </w:r>
    </w:p>
  </w:footnote>
  <w:footnote w:type="continuationSeparator" w:id="0">
    <w:p w14:paraId="3A9F7EA5" w14:textId="77777777" w:rsidR="00AC3CA3" w:rsidRDefault="00AC3CA3" w:rsidP="00D67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6C99" w14:textId="6A254161" w:rsidR="003C320D" w:rsidRPr="002B5B15" w:rsidRDefault="00DF7DBB" w:rsidP="00DF7DBB">
    <w:pPr>
      <w:pStyle w:val="Title"/>
      <w:tabs>
        <w:tab w:val="left" w:pos="8315"/>
      </w:tabs>
    </w:pPr>
    <w:r>
      <w:rPr>
        <w:noProof/>
      </w:rPr>
      <w:drawing>
        <wp:inline distT="0" distB="0" distL="0" distR="0" wp14:anchorId="7000C882" wp14:editId="4E2112C1">
          <wp:extent cx="5731510" cy="1712561"/>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71256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4124" w14:textId="0D9B774A" w:rsidR="00071A63" w:rsidRPr="002B5B15" w:rsidRDefault="00071A63" w:rsidP="00DF7DBB">
    <w:pPr>
      <w:pStyle w:val="Title"/>
      <w:tabs>
        <w:tab w:val="left" w:pos="8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52B"/>
    <w:multiLevelType w:val="hybridMultilevel"/>
    <w:tmpl w:val="EF5E92B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88206E5"/>
    <w:multiLevelType w:val="hybridMultilevel"/>
    <w:tmpl w:val="56A2FD62"/>
    <w:lvl w:ilvl="0" w:tplc="680624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DE65697"/>
    <w:multiLevelType w:val="hybridMultilevel"/>
    <w:tmpl w:val="F288EE6C"/>
    <w:lvl w:ilvl="0" w:tplc="26BAF624">
      <w:start w:val="1"/>
      <w:numFmt w:val="bullet"/>
      <w:lvlText w:val=""/>
      <w:lvlJc w:val="left"/>
      <w:pPr>
        <w:ind w:left="720" w:hanging="360"/>
      </w:pPr>
      <w:rPr>
        <w:rFonts w:ascii="Symbol" w:hAnsi="Symbol" w:hint="default"/>
        <w:color w:val="17AFB0"/>
        <w:u w:color="E263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5420D"/>
    <w:multiLevelType w:val="hybridMultilevel"/>
    <w:tmpl w:val="5A583F90"/>
    <w:lvl w:ilvl="0" w:tplc="26BAF624">
      <w:start w:val="1"/>
      <w:numFmt w:val="bullet"/>
      <w:lvlText w:val=""/>
      <w:lvlJc w:val="left"/>
      <w:pPr>
        <w:ind w:left="720" w:hanging="360"/>
      </w:pPr>
      <w:rPr>
        <w:rFonts w:ascii="Symbol" w:hAnsi="Symbol" w:hint="default"/>
        <w:color w:val="17AFB0"/>
        <w:u w:color="E263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31459"/>
    <w:multiLevelType w:val="hybridMultilevel"/>
    <w:tmpl w:val="9C54EB80"/>
    <w:lvl w:ilvl="0" w:tplc="6F5694DA">
      <w:start w:val="1"/>
      <w:numFmt w:val="bullet"/>
      <w:lvlText w:val=""/>
      <w:lvlJc w:val="left"/>
      <w:pPr>
        <w:ind w:left="720" w:hanging="360"/>
      </w:pPr>
      <w:rPr>
        <w:rFonts w:ascii="Symbol" w:hAnsi="Symbol" w:hint="default"/>
        <w:color w:val="E26316"/>
        <w:u w:color="E263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E6219B"/>
    <w:multiLevelType w:val="hybridMultilevel"/>
    <w:tmpl w:val="BB98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1C2C85"/>
    <w:multiLevelType w:val="hybridMultilevel"/>
    <w:tmpl w:val="6A98E42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79EA60AF"/>
    <w:multiLevelType w:val="hybridMultilevel"/>
    <w:tmpl w:val="B366E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F1"/>
    <w:rsid w:val="00020175"/>
    <w:rsid w:val="00032987"/>
    <w:rsid w:val="00034AB2"/>
    <w:rsid w:val="00051937"/>
    <w:rsid w:val="000672B9"/>
    <w:rsid w:val="00067ACE"/>
    <w:rsid w:val="00071A63"/>
    <w:rsid w:val="00071FEA"/>
    <w:rsid w:val="00080E62"/>
    <w:rsid w:val="00086C0D"/>
    <w:rsid w:val="000A192C"/>
    <w:rsid w:val="000A48F0"/>
    <w:rsid w:val="000A7615"/>
    <w:rsid w:val="000D3FE5"/>
    <w:rsid w:val="000D72F5"/>
    <w:rsid w:val="000E06F4"/>
    <w:rsid w:val="000E4755"/>
    <w:rsid w:val="000F6487"/>
    <w:rsid w:val="001372C0"/>
    <w:rsid w:val="001959AE"/>
    <w:rsid w:val="00197C4F"/>
    <w:rsid w:val="001A3E32"/>
    <w:rsid w:val="001A4B20"/>
    <w:rsid w:val="001B03A3"/>
    <w:rsid w:val="001B381E"/>
    <w:rsid w:val="001C4754"/>
    <w:rsid w:val="001E1DF1"/>
    <w:rsid w:val="001E7CBF"/>
    <w:rsid w:val="001F7E48"/>
    <w:rsid w:val="002007E7"/>
    <w:rsid w:val="00212B30"/>
    <w:rsid w:val="00214D22"/>
    <w:rsid w:val="00286B77"/>
    <w:rsid w:val="002A0521"/>
    <w:rsid w:val="002A5652"/>
    <w:rsid w:val="002B5B15"/>
    <w:rsid w:val="002C7C49"/>
    <w:rsid w:val="002E0C8E"/>
    <w:rsid w:val="002E6186"/>
    <w:rsid w:val="002F0FAF"/>
    <w:rsid w:val="002F4C1B"/>
    <w:rsid w:val="00301C97"/>
    <w:rsid w:val="003A28C9"/>
    <w:rsid w:val="003B5F77"/>
    <w:rsid w:val="003C320D"/>
    <w:rsid w:val="003D15B7"/>
    <w:rsid w:val="0045087B"/>
    <w:rsid w:val="00486A7B"/>
    <w:rsid w:val="004A054E"/>
    <w:rsid w:val="004A67DE"/>
    <w:rsid w:val="004B0A58"/>
    <w:rsid w:val="004F3A3A"/>
    <w:rsid w:val="004F5954"/>
    <w:rsid w:val="004F78C8"/>
    <w:rsid w:val="005060C3"/>
    <w:rsid w:val="0050710E"/>
    <w:rsid w:val="005210AF"/>
    <w:rsid w:val="005422D8"/>
    <w:rsid w:val="005467F2"/>
    <w:rsid w:val="00554EF6"/>
    <w:rsid w:val="005629C9"/>
    <w:rsid w:val="0059110A"/>
    <w:rsid w:val="005D2529"/>
    <w:rsid w:val="005E3F58"/>
    <w:rsid w:val="00624872"/>
    <w:rsid w:val="006256A7"/>
    <w:rsid w:val="0065707A"/>
    <w:rsid w:val="0067796C"/>
    <w:rsid w:val="00682B27"/>
    <w:rsid w:val="006A1633"/>
    <w:rsid w:val="006B36DE"/>
    <w:rsid w:val="006C28AC"/>
    <w:rsid w:val="006F5C45"/>
    <w:rsid w:val="006F6F30"/>
    <w:rsid w:val="00701C45"/>
    <w:rsid w:val="00713277"/>
    <w:rsid w:val="007154D7"/>
    <w:rsid w:val="00716B54"/>
    <w:rsid w:val="00727930"/>
    <w:rsid w:val="00761FBC"/>
    <w:rsid w:val="007767F7"/>
    <w:rsid w:val="007C62F8"/>
    <w:rsid w:val="007D1E84"/>
    <w:rsid w:val="007E16BE"/>
    <w:rsid w:val="00810797"/>
    <w:rsid w:val="00834764"/>
    <w:rsid w:val="00837527"/>
    <w:rsid w:val="008409AE"/>
    <w:rsid w:val="008853D7"/>
    <w:rsid w:val="008B4DF7"/>
    <w:rsid w:val="008C4AEA"/>
    <w:rsid w:val="008F436B"/>
    <w:rsid w:val="00916230"/>
    <w:rsid w:val="009263F5"/>
    <w:rsid w:val="0093635C"/>
    <w:rsid w:val="00942944"/>
    <w:rsid w:val="0095033A"/>
    <w:rsid w:val="0095533B"/>
    <w:rsid w:val="00956555"/>
    <w:rsid w:val="009C16EB"/>
    <w:rsid w:val="00A1084B"/>
    <w:rsid w:val="00A2492D"/>
    <w:rsid w:val="00A35EEB"/>
    <w:rsid w:val="00A51846"/>
    <w:rsid w:val="00A524B5"/>
    <w:rsid w:val="00A57688"/>
    <w:rsid w:val="00A6209D"/>
    <w:rsid w:val="00A7362D"/>
    <w:rsid w:val="00A81F41"/>
    <w:rsid w:val="00A91879"/>
    <w:rsid w:val="00AB44C1"/>
    <w:rsid w:val="00AC142E"/>
    <w:rsid w:val="00AC3CA3"/>
    <w:rsid w:val="00AC4A5D"/>
    <w:rsid w:val="00AC4E7F"/>
    <w:rsid w:val="00AF3993"/>
    <w:rsid w:val="00B01CFD"/>
    <w:rsid w:val="00B12A9A"/>
    <w:rsid w:val="00B13318"/>
    <w:rsid w:val="00B2761F"/>
    <w:rsid w:val="00B65193"/>
    <w:rsid w:val="00B6760B"/>
    <w:rsid w:val="00B8230D"/>
    <w:rsid w:val="00B84CD8"/>
    <w:rsid w:val="00B93822"/>
    <w:rsid w:val="00BA37FB"/>
    <w:rsid w:val="00BA75B7"/>
    <w:rsid w:val="00BB56A7"/>
    <w:rsid w:val="00BB77DF"/>
    <w:rsid w:val="00BD15ED"/>
    <w:rsid w:val="00BD5253"/>
    <w:rsid w:val="00BD7C3D"/>
    <w:rsid w:val="00BE3EDE"/>
    <w:rsid w:val="00C010D8"/>
    <w:rsid w:val="00C3751E"/>
    <w:rsid w:val="00C53C9F"/>
    <w:rsid w:val="00C54D0F"/>
    <w:rsid w:val="00C67051"/>
    <w:rsid w:val="00C70E30"/>
    <w:rsid w:val="00C75516"/>
    <w:rsid w:val="00C93602"/>
    <w:rsid w:val="00C93D61"/>
    <w:rsid w:val="00CA2458"/>
    <w:rsid w:val="00CA3446"/>
    <w:rsid w:val="00CC18C7"/>
    <w:rsid w:val="00CD09D8"/>
    <w:rsid w:val="00CE013D"/>
    <w:rsid w:val="00CF3F5A"/>
    <w:rsid w:val="00CF6160"/>
    <w:rsid w:val="00D22A1A"/>
    <w:rsid w:val="00D42D15"/>
    <w:rsid w:val="00D62700"/>
    <w:rsid w:val="00D67BF1"/>
    <w:rsid w:val="00D92E44"/>
    <w:rsid w:val="00DE1A0D"/>
    <w:rsid w:val="00DF7DBB"/>
    <w:rsid w:val="00E12B45"/>
    <w:rsid w:val="00E46F78"/>
    <w:rsid w:val="00E63DF4"/>
    <w:rsid w:val="00E65F42"/>
    <w:rsid w:val="00E95577"/>
    <w:rsid w:val="00ED724B"/>
    <w:rsid w:val="00EE60CC"/>
    <w:rsid w:val="00EE7E2E"/>
    <w:rsid w:val="00F36E30"/>
    <w:rsid w:val="00F46626"/>
    <w:rsid w:val="00F549F7"/>
    <w:rsid w:val="00F74D18"/>
    <w:rsid w:val="00FA78B1"/>
    <w:rsid w:val="00FB2B00"/>
    <w:rsid w:val="00FB5C47"/>
    <w:rsid w:val="00FE0828"/>
    <w:rsid w:val="755DF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B57D0"/>
  <w15:chartTrackingRefBased/>
  <w15:docId w15:val="{369CD5DC-08C6-4BBB-A859-C77153CC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7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BF1"/>
  </w:style>
  <w:style w:type="paragraph" w:styleId="Footer">
    <w:name w:val="footer"/>
    <w:basedOn w:val="Normal"/>
    <w:link w:val="FooterChar"/>
    <w:uiPriority w:val="99"/>
    <w:unhideWhenUsed/>
    <w:rsid w:val="00D6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BF1"/>
  </w:style>
  <w:style w:type="paragraph" w:styleId="Title">
    <w:name w:val="Title"/>
    <w:basedOn w:val="Normal"/>
    <w:next w:val="Normal"/>
    <w:link w:val="TitleChar"/>
    <w:uiPriority w:val="10"/>
    <w:qFormat/>
    <w:rsid w:val="00D67B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B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A28C9"/>
    <w:pPr>
      <w:ind w:left="720"/>
      <w:contextualSpacing/>
    </w:pPr>
  </w:style>
  <w:style w:type="table" w:styleId="GridTable4-Accent2">
    <w:name w:val="Grid Table 4 Accent 2"/>
    <w:basedOn w:val="TableNormal"/>
    <w:uiPriority w:val="49"/>
    <w:rsid w:val="001A3E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5467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4AFCCBDF93142A615DB8A29776634" ma:contentTypeVersion="9" ma:contentTypeDescription="Create a new document." ma:contentTypeScope="" ma:versionID="fa6d03a7a4c2f46e933a2dace6e48477">
  <xsd:schema xmlns:xsd="http://www.w3.org/2001/XMLSchema" xmlns:xs="http://www.w3.org/2001/XMLSchema" xmlns:p="http://schemas.microsoft.com/office/2006/metadata/properties" xmlns:ns2="614104af-05ce-46a8-8eaf-1ad71e2e01de" targetNamespace="http://schemas.microsoft.com/office/2006/metadata/properties" ma:root="true" ma:fieldsID="5a97451822e2cc2eaf77c5f805c6c592" ns2:_="">
    <xsd:import namespace="614104af-05ce-46a8-8eaf-1ad71e2e01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104af-05ce-46a8-8eaf-1ad71e2e0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7058-677F-4ED3-9422-C902E855F800}"/>
</file>

<file path=customXml/itemProps2.xml><?xml version="1.0" encoding="utf-8"?>
<ds:datastoreItem xmlns:ds="http://schemas.openxmlformats.org/officeDocument/2006/customXml" ds:itemID="{8706E3AF-4DAE-4F9E-8F46-E48034D1D4EF}">
  <ds:schemaRefs>
    <ds:schemaRef ds:uri="http://schemas.microsoft.com/sharepoint/v3/contenttype/forms"/>
  </ds:schemaRefs>
</ds:datastoreItem>
</file>

<file path=customXml/itemProps3.xml><?xml version="1.0" encoding="utf-8"?>
<ds:datastoreItem xmlns:ds="http://schemas.openxmlformats.org/officeDocument/2006/customXml" ds:itemID="{A06533DC-F967-4548-BFEC-01FE9F12BC35}">
  <ds:schemaRefs>
    <ds:schemaRef ds:uri="http://schemas.microsoft.com/office/2006/metadata/properties"/>
    <ds:schemaRef ds:uri="http://schemas.microsoft.com/office/infopath/2007/PartnerControls"/>
    <ds:schemaRef ds:uri="http://schemas.microsoft.com/sharepoint/v3/fields"/>
    <ds:schemaRef ds:uri="44FF356D-9D21-4A9E-ABF4-098AE14646C2"/>
    <ds:schemaRef ds:uri="44ff356d-9d21-4a9e-abf4-098ae14646c2"/>
  </ds:schemaRefs>
</ds:datastoreItem>
</file>

<file path=customXml/itemProps4.xml><?xml version="1.0" encoding="utf-8"?>
<ds:datastoreItem xmlns:ds="http://schemas.openxmlformats.org/officeDocument/2006/customXml" ds:itemID="{734D59C9-E9EA-4C6E-8567-02576422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Bosley Moore</dc:creator>
  <cp:keywords/>
  <dc:description/>
  <cp:lastModifiedBy>Lisa</cp:lastModifiedBy>
  <cp:revision>39</cp:revision>
  <cp:lastPrinted>2019-12-10T02:46:00Z</cp:lastPrinted>
  <dcterms:created xsi:type="dcterms:W3CDTF">2020-02-23T09:36:00Z</dcterms:created>
  <dcterms:modified xsi:type="dcterms:W3CDTF">2020-09-22T04:09:00Z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e687c5-5ab6-45c3-9be8-843987007839_Enabled">
    <vt:lpwstr>true</vt:lpwstr>
  </property>
  <property fmtid="{D5CDD505-2E9C-101B-9397-08002B2CF9AE}" pid="3" name="MSIP_Label_96e687c5-5ab6-45c3-9be8-843987007839_SetDate">
    <vt:lpwstr>2019-12-05T07:07:15Z</vt:lpwstr>
  </property>
  <property fmtid="{D5CDD505-2E9C-101B-9397-08002B2CF9AE}" pid="4" name="MSIP_Label_96e687c5-5ab6-45c3-9be8-843987007839_Method">
    <vt:lpwstr>Standard</vt:lpwstr>
  </property>
  <property fmtid="{D5CDD505-2E9C-101B-9397-08002B2CF9AE}" pid="5" name="MSIP_Label_96e687c5-5ab6-45c3-9be8-843987007839_Name">
    <vt:lpwstr>96e687c5-5ab6-45c3-9be8-843987007839</vt:lpwstr>
  </property>
  <property fmtid="{D5CDD505-2E9C-101B-9397-08002B2CF9AE}" pid="6" name="MSIP_Label_96e687c5-5ab6-45c3-9be8-843987007839_SiteId">
    <vt:lpwstr>1f2ce1c7-a132-4fc7-9cbc-a5c2e89e9245</vt:lpwstr>
  </property>
  <property fmtid="{D5CDD505-2E9C-101B-9397-08002B2CF9AE}" pid="7" name="MSIP_Label_96e687c5-5ab6-45c3-9be8-843987007839_ActionId">
    <vt:lpwstr>abda5a7d-9f95-4b45-87ba-0000cc138d79</vt:lpwstr>
  </property>
  <property fmtid="{D5CDD505-2E9C-101B-9397-08002B2CF9AE}" pid="8" name="MSIP_Label_96e687c5-5ab6-45c3-9be8-843987007839_ContentBits">
    <vt:lpwstr>0</vt:lpwstr>
  </property>
  <property fmtid="{D5CDD505-2E9C-101B-9397-08002B2CF9AE}" pid="9" name="ContentTypeId">
    <vt:lpwstr>0x0101003AA4AFCCBDF93142A615DB8A29776634</vt:lpwstr>
  </property>
</Properties>
</file>